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51C86740" w14:textId="77777777" w:rsidTr="00DA6A67">
        <w:tc>
          <w:tcPr>
            <w:tcW w:w="1384" w:type="dxa"/>
            <w:shd w:val="clear" w:color="auto" w:fill="D9D9D9" w:themeFill="background1" w:themeFillShade="D9"/>
            <w:vAlign w:val="bottom"/>
          </w:tcPr>
          <w:p w14:paraId="44A7A857" w14:textId="77777777" w:rsidR="00ED3333" w:rsidRPr="00ED3333" w:rsidRDefault="003E5B29" w:rsidP="00ED3333">
            <w:pPr>
              <w:rPr>
                <w:b/>
                <w:bCs/>
                <w:sz w:val="28"/>
                <w:szCs w:val="28"/>
              </w:rPr>
            </w:pPr>
            <w:r>
              <w:rPr>
                <w:b/>
                <w:bCs/>
                <w:sz w:val="28"/>
                <w:szCs w:val="28"/>
              </w:rPr>
              <w:t>F</w:t>
            </w:r>
            <w:r w:rsidR="00ED3333" w:rsidRPr="00ED3333">
              <w:rPr>
                <w:b/>
                <w:bCs/>
                <w:sz w:val="28"/>
                <w:szCs w:val="28"/>
              </w:rPr>
              <w:t>.</w:t>
            </w:r>
            <w:r>
              <w:rPr>
                <w:b/>
                <w:bCs/>
                <w:sz w:val="28"/>
                <w:szCs w:val="28"/>
              </w:rPr>
              <w:t>01</w:t>
            </w:r>
          </w:p>
        </w:tc>
        <w:tc>
          <w:tcPr>
            <w:tcW w:w="7826" w:type="dxa"/>
            <w:shd w:val="clear" w:color="auto" w:fill="D9D9D9" w:themeFill="background1" w:themeFillShade="D9"/>
            <w:vAlign w:val="bottom"/>
          </w:tcPr>
          <w:p w14:paraId="6EF1EAC5" w14:textId="77777777" w:rsidR="00ED3333" w:rsidRPr="00ED3333" w:rsidRDefault="003E5B29" w:rsidP="00ED3333">
            <w:pPr>
              <w:rPr>
                <w:b/>
                <w:bCs/>
                <w:sz w:val="28"/>
                <w:szCs w:val="28"/>
              </w:rPr>
            </w:pPr>
            <w:r>
              <w:rPr>
                <w:b/>
                <w:bCs/>
                <w:sz w:val="28"/>
                <w:szCs w:val="28"/>
              </w:rPr>
              <w:t>Promenáda mezi jezem a mostem Svatováclavská</w:t>
            </w:r>
          </w:p>
        </w:tc>
      </w:tr>
      <w:tr w:rsidR="002F650F" w14:paraId="6DDFBC5B" w14:textId="77777777" w:rsidTr="002F650F">
        <w:tc>
          <w:tcPr>
            <w:tcW w:w="1384" w:type="dxa"/>
          </w:tcPr>
          <w:p w14:paraId="102DDA72" w14:textId="77777777" w:rsidR="002F650F" w:rsidRDefault="00ED3333" w:rsidP="002F650F">
            <w:r>
              <w:t>Úsek</w:t>
            </w:r>
          </w:p>
        </w:tc>
        <w:tc>
          <w:tcPr>
            <w:tcW w:w="7826" w:type="dxa"/>
          </w:tcPr>
          <w:tbl>
            <w:tblPr>
              <w:tblStyle w:val="Mkatabulky"/>
              <w:tblW w:w="0" w:type="auto"/>
              <w:tblLook w:val="04A0" w:firstRow="1" w:lastRow="0" w:firstColumn="1" w:lastColumn="0" w:noHBand="0" w:noVBand="1"/>
            </w:tblPr>
            <w:tblGrid>
              <w:gridCol w:w="7600"/>
            </w:tblGrid>
            <w:tr w:rsidR="00011A09" w14:paraId="136F3C57" w14:textId="77777777" w:rsidTr="0082301A">
              <w:tc>
                <w:tcPr>
                  <w:tcW w:w="7826" w:type="dxa"/>
                </w:tcPr>
                <w:p w14:paraId="4A21F2DF" w14:textId="77777777" w:rsidR="00011A09" w:rsidRDefault="003E5B29" w:rsidP="00011A09">
                  <w:r>
                    <w:t>F</w:t>
                  </w:r>
                  <w:r w:rsidR="00011A09">
                    <w:t xml:space="preserve"> (</w:t>
                  </w:r>
                  <w:r>
                    <w:t>park a promenáda</w:t>
                  </w:r>
                  <w:r w:rsidR="00011A09">
                    <w:t>)</w:t>
                  </w:r>
                </w:p>
              </w:tc>
            </w:tr>
          </w:tbl>
          <w:p w14:paraId="2D6A9B97" w14:textId="77777777" w:rsidR="002F650F" w:rsidRDefault="002F650F" w:rsidP="002F650F"/>
        </w:tc>
      </w:tr>
    </w:tbl>
    <w:p w14:paraId="1B4AB319" w14:textId="77777777" w:rsidR="002F650F" w:rsidRDefault="008E208F" w:rsidP="00DA6A67">
      <w:pPr>
        <w:pStyle w:val="NadpisC"/>
      </w:pPr>
      <w:r>
        <w:t>1</w:t>
      </w:r>
      <w:r>
        <w:tab/>
      </w:r>
      <w:r w:rsidR="002F650F">
        <w:t>Popis námětu dle Studie</w:t>
      </w:r>
    </w:p>
    <w:p w14:paraId="1BC577FD" w14:textId="77777777" w:rsidR="003E5B29" w:rsidRDefault="003E5B29" w:rsidP="003E5B29">
      <w:pPr>
        <w:pStyle w:val="NadpisC"/>
        <w:rPr>
          <w:b w:val="0"/>
          <w:i/>
          <w:iCs/>
          <w:kern w:val="0"/>
          <w:sz w:val="20"/>
        </w:rPr>
      </w:pPr>
      <w:r w:rsidRPr="003E5B29">
        <w:rPr>
          <w:b w:val="0"/>
          <w:i/>
          <w:iCs/>
          <w:kern w:val="0"/>
          <w:sz w:val="20"/>
        </w:rPr>
        <w:t>V návaznosti na přilehlý park náměstí Míru je, mezi mostem Svatováclavská a jezem, navržena obnova promenády s vyhlídkou na řeku. Řešení přináší do této části města městský prvek s výraznou společenskou funkcí. Řešení promenády navazuje na návrh promenády dále za kinem Mír a také v dalších úsecích podél řeky, např. u Říčního okruhu. Návrh počítá s nově osázenými stromy (stávající jsou již na hranici životnosti). Povrch mezi stromy je mlatový, je zde umístěn městský mobiliář (lavičky, koše, stojany na kola), veřejné osvětlení apod. Na horní hraně opěrné stěny je navrženo zábradlí. Tvar, konstrukce a materiál bude</w:t>
      </w:r>
      <w:r>
        <w:rPr>
          <w:b w:val="0"/>
          <w:i/>
          <w:iCs/>
          <w:kern w:val="0"/>
          <w:sz w:val="20"/>
        </w:rPr>
        <w:t xml:space="preserve"> </w:t>
      </w:r>
      <w:r w:rsidRPr="003E5B29">
        <w:rPr>
          <w:b w:val="0"/>
          <w:i/>
          <w:iCs/>
          <w:kern w:val="0"/>
          <w:sz w:val="20"/>
        </w:rPr>
        <w:t>identický se stávajícím zábradlí</w:t>
      </w:r>
      <w:r>
        <w:rPr>
          <w:b w:val="0"/>
          <w:i/>
          <w:iCs/>
          <w:kern w:val="0"/>
          <w:sz w:val="20"/>
        </w:rPr>
        <w:t>m</w:t>
      </w:r>
      <w:r w:rsidRPr="003E5B29">
        <w:rPr>
          <w:b w:val="0"/>
          <w:i/>
          <w:iCs/>
          <w:kern w:val="0"/>
          <w:sz w:val="20"/>
        </w:rPr>
        <w:t xml:space="preserve">. Tento typ zábradlí poslouží jako vzor pro zábradlí v dalších úsecích promenády. </w:t>
      </w:r>
    </w:p>
    <w:p w14:paraId="0198D757" w14:textId="77777777" w:rsidR="002F650F" w:rsidRPr="001834D7" w:rsidRDefault="008E208F" w:rsidP="003E5B29">
      <w:pPr>
        <w:pStyle w:val="NadpisC"/>
        <w:rPr>
          <w:b w:val="0"/>
          <w:i/>
          <w:iCs/>
          <w:kern w:val="0"/>
          <w:sz w:val="20"/>
        </w:rPr>
      </w:pPr>
      <w:r>
        <w:t>2</w:t>
      </w:r>
      <w:r>
        <w:tab/>
      </w:r>
      <w:r w:rsidR="002F650F">
        <w:t>Umístění</w:t>
      </w:r>
    </w:p>
    <w:p w14:paraId="5F89E172" w14:textId="77777777" w:rsidR="0057158F" w:rsidRDefault="0057158F" w:rsidP="00F86B43">
      <w:pPr>
        <w:pStyle w:val="Bntext"/>
      </w:pPr>
      <w:bookmarkStart w:id="0" w:name="_Hlk34635880"/>
      <w:r>
        <w:rPr>
          <w:noProof/>
        </w:rPr>
        <w:drawing>
          <wp:inline distT="0" distB="0" distL="0" distR="0" wp14:anchorId="7B5E77AD" wp14:editId="72221CF5">
            <wp:extent cx="5759450" cy="3481705"/>
            <wp:effectExtent l="0" t="0" r="0" b="4445"/>
            <wp:docPr id="2" name="Obrázek 2"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tuace_F01.PNG"/>
                    <pic:cNvPicPr/>
                  </pic:nvPicPr>
                  <pic:blipFill>
                    <a:blip r:embed="rId7">
                      <a:extLst>
                        <a:ext uri="{28A0092B-C50C-407E-A947-70E740481C1C}">
                          <a14:useLocalDpi xmlns:a14="http://schemas.microsoft.com/office/drawing/2010/main" val="0"/>
                        </a:ext>
                      </a:extLst>
                    </a:blip>
                    <a:stretch>
                      <a:fillRect/>
                    </a:stretch>
                  </pic:blipFill>
                  <pic:spPr>
                    <a:xfrm>
                      <a:off x="0" y="0"/>
                      <a:ext cx="5759450" cy="3481705"/>
                    </a:xfrm>
                    <a:prstGeom prst="rect">
                      <a:avLst/>
                    </a:prstGeom>
                  </pic:spPr>
                </pic:pic>
              </a:graphicData>
            </a:graphic>
          </wp:inline>
        </w:drawing>
      </w:r>
    </w:p>
    <w:p w14:paraId="479ABF23" w14:textId="77777777" w:rsidR="0057158F" w:rsidRDefault="0057158F" w:rsidP="00F86B43">
      <w:pPr>
        <w:pStyle w:val="Bntext"/>
      </w:pPr>
    </w:p>
    <w:p w14:paraId="16A37629" w14:textId="77777777" w:rsidR="00F86B43" w:rsidRDefault="00F86B43" w:rsidP="00F86B43">
      <w:pPr>
        <w:pStyle w:val="Bntext"/>
      </w:pPr>
      <w:r w:rsidRPr="009A5019">
        <w:t xml:space="preserve">Námět v souladu s ÚP – koridory </w:t>
      </w:r>
      <w:r>
        <w:t>vodní a vodohospodářské – KW-O39 (přípustné využití pro stavby dopravní a technické infrastruktury)</w:t>
      </w:r>
      <w:r w:rsidR="00A145EA">
        <w:t xml:space="preserve">, </w:t>
      </w:r>
    </w:p>
    <w:p w14:paraId="17F8D192" w14:textId="77777777" w:rsidR="00F86B43" w:rsidRDefault="00F86B43" w:rsidP="00F86B43">
      <w:pPr>
        <w:pStyle w:val="Bntext"/>
      </w:pPr>
      <w:r>
        <w:t>Zábory, majetkoprávní vypořádání – pozemek PO, pozemek Města Krnova</w:t>
      </w:r>
    </w:p>
    <w:p w14:paraId="3F8C9D3D" w14:textId="77777777" w:rsidR="00F86B43" w:rsidRDefault="00F86B43" w:rsidP="00F86B43">
      <w:pPr>
        <w:pStyle w:val="Bntext"/>
      </w:pPr>
      <w:r>
        <w:t>Kolize s infrastrukturou – NE</w:t>
      </w:r>
    </w:p>
    <w:bookmarkEnd w:id="0"/>
    <w:p w14:paraId="107906C7" w14:textId="77777777" w:rsidR="002F650F" w:rsidRDefault="008E208F" w:rsidP="00235460">
      <w:pPr>
        <w:pStyle w:val="NadpisC"/>
      </w:pPr>
      <w:r>
        <w:t>3</w:t>
      </w:r>
      <w:r>
        <w:tab/>
      </w:r>
      <w:r w:rsidR="00235460">
        <w:t>Komentář</w:t>
      </w:r>
    </w:p>
    <w:p w14:paraId="0E05BD10" w14:textId="77777777" w:rsidR="00A52B59" w:rsidRDefault="00A52B59" w:rsidP="00A52B59">
      <w:pPr>
        <w:pStyle w:val="Bntext"/>
      </w:pPr>
      <w:bookmarkStart w:id="1" w:name="_Hlk34636033"/>
      <w:r>
        <w:t>Řešení je uvedeno na přílohách studie: zpráva A str. 35, situace B.04f.</w:t>
      </w:r>
    </w:p>
    <w:p w14:paraId="0D32CE35" w14:textId="77777777" w:rsidR="00A52B59" w:rsidRDefault="00A52B59" w:rsidP="00A52B59">
      <w:pPr>
        <w:pStyle w:val="Bntext"/>
      </w:pPr>
      <w:r>
        <w:t xml:space="preserve">Ve </w:t>
      </w:r>
      <w:r w:rsidRPr="000156FB">
        <w:rPr>
          <w:i/>
          <w:iCs/>
        </w:rPr>
        <w:t>Studii</w:t>
      </w:r>
      <w:r>
        <w:t xml:space="preserve"> jen ideové řešení.</w:t>
      </w:r>
      <w:bookmarkEnd w:id="1"/>
      <w:r>
        <w:t xml:space="preserve"> </w:t>
      </w:r>
      <w:r w:rsidR="001E3C32">
        <w:t>Studie nezohledňuje úpravu pravého břehu v oblasti jezu (odstranění výběžku do jezové zdrže a vodácká propusť) navrženou v DUR PPO – viz obr.</w:t>
      </w:r>
    </w:p>
    <w:p w14:paraId="711D6DFD" w14:textId="77777777" w:rsidR="00537C5B" w:rsidRPr="00235460" w:rsidRDefault="00537C5B" w:rsidP="00A52B59">
      <w:pPr>
        <w:pStyle w:val="Bntext"/>
      </w:pPr>
      <w:r>
        <w:rPr>
          <w:noProof/>
        </w:rPr>
        <w:lastRenderedPageBreak/>
        <w:drawing>
          <wp:inline distT="0" distB="0" distL="0" distR="0" wp14:anchorId="21BDDF9D" wp14:editId="0C384036">
            <wp:extent cx="5759450" cy="2415540"/>
            <wp:effectExtent l="0" t="0" r="0" b="3810"/>
            <wp:docPr id="3" name="Obrázek 3"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dacka_propust.PNG"/>
                    <pic:cNvPicPr/>
                  </pic:nvPicPr>
                  <pic:blipFill>
                    <a:blip r:embed="rId8">
                      <a:extLst>
                        <a:ext uri="{28A0092B-C50C-407E-A947-70E740481C1C}">
                          <a14:useLocalDpi xmlns:a14="http://schemas.microsoft.com/office/drawing/2010/main" val="0"/>
                        </a:ext>
                      </a:extLst>
                    </a:blip>
                    <a:stretch>
                      <a:fillRect/>
                    </a:stretch>
                  </pic:blipFill>
                  <pic:spPr>
                    <a:xfrm>
                      <a:off x="0" y="0"/>
                      <a:ext cx="5759450" cy="2415540"/>
                    </a:xfrm>
                    <a:prstGeom prst="rect">
                      <a:avLst/>
                    </a:prstGeom>
                  </pic:spPr>
                </pic:pic>
              </a:graphicData>
            </a:graphic>
          </wp:inline>
        </w:drawing>
      </w:r>
    </w:p>
    <w:p w14:paraId="11117F98"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6758A749" w14:textId="77777777" w:rsidR="00537C5B" w:rsidRDefault="00537C5B" w:rsidP="00537C5B">
      <w:pPr>
        <w:pStyle w:val="Bntext"/>
      </w:pPr>
      <w:bookmarkStart w:id="2" w:name="_Hlk34909504"/>
      <w:r w:rsidRPr="00871ACE">
        <w:t>Námět je možno realizovat bez dopadu na</w:t>
      </w:r>
      <w:r w:rsidR="00664E61">
        <w:t xml:space="preserve"> funkci</w:t>
      </w:r>
      <w:r w:rsidRPr="00871ACE">
        <w:t xml:space="preserve"> PPO. </w:t>
      </w:r>
    </w:p>
    <w:bookmarkEnd w:id="2"/>
    <w:p w14:paraId="4F1676C8" w14:textId="77777777" w:rsidR="002F650F" w:rsidRDefault="008E208F" w:rsidP="00EE3891">
      <w:pPr>
        <w:pStyle w:val="NadpisC"/>
        <w:spacing w:before="120"/>
      </w:pPr>
      <w:r>
        <w:t>5</w:t>
      </w:r>
      <w:r>
        <w:tab/>
      </w:r>
      <w:r w:rsidR="005B07AF">
        <w:t>V</w:t>
      </w:r>
      <w:r w:rsidR="002F650F" w:rsidRPr="00ED3333">
        <w:t>liv na dosažení požadovaných kapacit PPO</w:t>
      </w:r>
    </w:p>
    <w:p w14:paraId="2BD7B9A3" w14:textId="77777777" w:rsidR="00537C5B" w:rsidRDefault="00537C5B" w:rsidP="00537C5B">
      <w:pPr>
        <w:pStyle w:val="Bntext"/>
      </w:pPr>
      <w:bookmarkStart w:id="3" w:name="_Hlk35081275"/>
      <w:r w:rsidRPr="00620FD0">
        <w:t xml:space="preserve">Vliv </w:t>
      </w:r>
      <w:r w:rsidR="00736578">
        <w:t xml:space="preserve">na kapacitu PPO je </w:t>
      </w:r>
      <w:r w:rsidRPr="00620FD0">
        <w:t>neutrální</w:t>
      </w:r>
      <w:r>
        <w:t>.</w:t>
      </w:r>
    </w:p>
    <w:bookmarkEnd w:id="3"/>
    <w:p w14:paraId="0DF97A09" w14:textId="77777777" w:rsidR="002F650F" w:rsidRDefault="008E208F" w:rsidP="00EE3891">
      <w:pPr>
        <w:pStyle w:val="NadpisC"/>
        <w:spacing w:before="120"/>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36CB5A40" w14:textId="77777777" w:rsidR="00ED3333" w:rsidRDefault="001E3C32" w:rsidP="001E3C32">
      <w:bookmarkStart w:id="4" w:name="_Hlk34820599"/>
      <w:r>
        <w:t xml:space="preserve">Námět je třeba zkoordinovat s úpravu pravého břehu </w:t>
      </w:r>
      <w:r w:rsidR="00EB6032">
        <w:t>podle</w:t>
      </w:r>
      <w:r>
        <w:t xml:space="preserve"> DUR PPO. </w:t>
      </w:r>
      <w:bookmarkEnd w:id="4"/>
    </w:p>
    <w:p w14:paraId="32521ED2" w14:textId="77777777" w:rsidR="002F650F" w:rsidRDefault="007A41FB" w:rsidP="00EE3891">
      <w:pPr>
        <w:pStyle w:val="NadpisC"/>
        <w:spacing w:before="120"/>
      </w:pPr>
      <w:r>
        <w:t>7</w:t>
      </w:r>
      <w:r>
        <w:tab/>
      </w:r>
      <w:r w:rsidR="00ED3333">
        <w:t>Z</w:t>
      </w:r>
      <w:r w:rsidR="002F650F">
        <w:t>hodnocení provozních hledisek z pohledu investor</w:t>
      </w:r>
      <w:r w:rsidR="00996DD1">
        <w:t>a PPO</w:t>
      </w:r>
    </w:p>
    <w:p w14:paraId="13752267" w14:textId="77777777" w:rsidR="001E3C32" w:rsidRDefault="001E3C32" w:rsidP="001E3C32">
      <w:pPr>
        <w:pStyle w:val="Bntext"/>
      </w:pPr>
      <w:bookmarkStart w:id="5" w:name="_Hlk34820533"/>
      <w:r>
        <w:t>Správu a údržbu nebude zajišťovat PO. Provozovatelem bude Město Krnov.</w:t>
      </w:r>
    </w:p>
    <w:bookmarkEnd w:id="5"/>
    <w:p w14:paraId="0FB5812B" w14:textId="77777777" w:rsidR="002F650F" w:rsidRDefault="007A41FB" w:rsidP="00EE3891">
      <w:pPr>
        <w:pStyle w:val="NadpisC"/>
        <w:spacing w:before="120"/>
      </w:pPr>
      <w:r>
        <w:t>8</w:t>
      </w:r>
      <w:r>
        <w:tab/>
      </w:r>
      <w:r w:rsidR="00996DD1">
        <w:t>S</w:t>
      </w:r>
      <w:r w:rsidR="002F650F">
        <w:t xml:space="preserve">tanovisko </w:t>
      </w:r>
      <w:r w:rsidR="00DA6A67">
        <w:t>investora PPO</w:t>
      </w:r>
    </w:p>
    <w:p w14:paraId="4129077E" w14:textId="77777777" w:rsidR="007B6F55" w:rsidRDefault="00A52B59" w:rsidP="007B6F55">
      <w:pPr>
        <w:pStyle w:val="Bntext"/>
      </w:pPr>
      <w:r w:rsidRPr="00A52B59">
        <w:t>Z hlediska vodního hospodářství je navržené opatření možné po provedení úprav a za předpokladu projednání majetkoprávních vztahů a provozních podmínek</w:t>
      </w:r>
      <w:r>
        <w:t>.</w:t>
      </w:r>
    </w:p>
    <w:p w14:paraId="5E114171" w14:textId="77777777" w:rsidR="007B6F55" w:rsidRDefault="007B6F55" w:rsidP="007B6F55">
      <w:pPr>
        <w:pStyle w:val="Bntext"/>
      </w:pPr>
      <w:r>
        <w:t>Z hlediska investorství</w:t>
      </w:r>
      <w:r w:rsidRPr="00B90B01">
        <w:t xml:space="preserve"> </w:t>
      </w:r>
      <w:r w:rsidRPr="00F56DCE">
        <w:rPr>
          <w:b/>
          <w:bCs/>
        </w:rPr>
        <w:t>Typ 3</w:t>
      </w:r>
      <w:r w:rsidRPr="00542005">
        <w:t xml:space="preserve"> – </w:t>
      </w:r>
      <w:r>
        <w:t>koordinovaná stavba jiného investora.</w:t>
      </w:r>
    </w:p>
    <w:p w14:paraId="57086FA1" w14:textId="77777777" w:rsidR="002F650F" w:rsidRDefault="00996DD1" w:rsidP="00EE3891">
      <w:pPr>
        <w:pStyle w:val="NadpisC"/>
        <w:spacing w:before="120"/>
      </w:pPr>
      <w:r>
        <w:t>9</w:t>
      </w:r>
      <w:r w:rsidR="007A41FB">
        <w:tab/>
      </w:r>
      <w:r w:rsidR="00DA6A67">
        <w:t>N</w:t>
      </w:r>
      <w:r w:rsidR="002F650F">
        <w:t xml:space="preserve">ávrh </w:t>
      </w:r>
      <w:r w:rsidR="00DA6A67">
        <w:t xml:space="preserve">zásad </w:t>
      </w:r>
      <w:r w:rsidR="002F650F">
        <w:t xml:space="preserve">koordinace přípravy a realizace </w:t>
      </w:r>
    </w:p>
    <w:p w14:paraId="79AF5CAF" w14:textId="77777777" w:rsidR="007B6F55" w:rsidRDefault="00C645BB" w:rsidP="00653CC8">
      <w:bookmarkStart w:id="6" w:name="_Hlk34818146"/>
      <w:bookmarkStart w:id="7" w:name="_Hlk34816214"/>
      <w:bookmarkStart w:id="8" w:name="_Hlk34917297"/>
      <w:r>
        <w:t>Promenáda</w:t>
      </w:r>
      <w:r w:rsidR="00653CC8">
        <w:t xml:space="preserve"> může být realizována jako navazující koordinovaná samostatná stavba jiného investora (Města Krnova)</w:t>
      </w:r>
      <w:bookmarkEnd w:id="6"/>
      <w:r w:rsidR="00653CC8">
        <w:t xml:space="preserve"> za jeho prostředky.</w:t>
      </w:r>
      <w:r w:rsidR="00653CC8" w:rsidDel="00CB0761">
        <w:t xml:space="preserve"> </w:t>
      </w:r>
      <w:bookmarkStart w:id="9" w:name="_Hlk41915350"/>
    </w:p>
    <w:p w14:paraId="5783A6AD" w14:textId="2F92785F" w:rsidR="00653CC8" w:rsidRDefault="00653CC8" w:rsidP="00653CC8">
      <w:r>
        <w:t xml:space="preserve">Námět </w:t>
      </w:r>
      <w:r w:rsidR="001B05AD">
        <w:t>může být zakreslen</w:t>
      </w:r>
      <w:r>
        <w:t xml:space="preserve"> do DUR</w:t>
      </w:r>
      <w:bookmarkEnd w:id="9"/>
      <w:r w:rsidR="001B05AD">
        <w:t xml:space="preserve"> jako související stavba, pokud budou dodány projektové podklady</w:t>
      </w:r>
      <w:r>
        <w:t>,</w:t>
      </w:r>
      <w:r w:rsidR="001B05AD">
        <w:t xml:space="preserve"> ale</w:t>
      </w:r>
      <w:r>
        <w:t xml:space="preserve"> bude projednáván </w:t>
      </w:r>
      <w:r w:rsidR="00C645BB">
        <w:t>v</w:t>
      </w:r>
      <w:r>
        <w:t> samostatném řízení.</w:t>
      </w:r>
      <w:bookmarkEnd w:id="7"/>
    </w:p>
    <w:p w14:paraId="2120B28D" w14:textId="2D9AD8C9" w:rsidR="00F319BD" w:rsidRDefault="00F319BD" w:rsidP="00653CC8"/>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EE3891" w:rsidRPr="00ED5BBD" w14:paraId="1415061B" w14:textId="77777777" w:rsidTr="00BC25DC">
        <w:tc>
          <w:tcPr>
            <w:tcW w:w="9062" w:type="dxa"/>
            <w:shd w:val="clear" w:color="auto" w:fill="F2F2F2" w:themeFill="background1" w:themeFillShade="F2"/>
            <w:hideMark/>
          </w:tcPr>
          <w:p w14:paraId="733003F7" w14:textId="77777777" w:rsidR="00EE3891" w:rsidRPr="00ED5BBD" w:rsidRDefault="00EE3891" w:rsidP="00BC25DC">
            <w:pPr>
              <w:rPr>
                <w:rFonts w:cs="Arial"/>
                <w:b/>
                <w:bCs/>
                <w:color w:val="FF0000"/>
                <w:szCs w:val="20"/>
              </w:rPr>
            </w:pPr>
            <w:bookmarkStart w:id="10" w:name="_Hlk48291513"/>
            <w:bookmarkStart w:id="11" w:name="_Hlk48291356"/>
            <w:bookmarkStart w:id="12" w:name="_Hlk48577253"/>
            <w:r w:rsidRPr="00ED5BBD">
              <w:rPr>
                <w:rFonts w:cs="Arial"/>
                <w:b/>
                <w:bCs/>
                <w:color w:val="FF0000"/>
                <w:sz w:val="24"/>
              </w:rPr>
              <w:t>ZÁVĚR</w:t>
            </w:r>
          </w:p>
        </w:tc>
      </w:tr>
      <w:tr w:rsidR="00EE3891" w:rsidRPr="00ED5BBD" w14:paraId="1167E472" w14:textId="77777777" w:rsidTr="00BC25DC">
        <w:tc>
          <w:tcPr>
            <w:tcW w:w="9062" w:type="dxa"/>
            <w:hideMark/>
          </w:tcPr>
          <w:p w14:paraId="23E146CE" w14:textId="77777777" w:rsidR="00EE3891" w:rsidRDefault="00EE3891" w:rsidP="00EE3891">
            <w:pPr>
              <w:pStyle w:val="Bntext"/>
              <w:rPr>
                <w:color w:val="FF0000"/>
                <w:szCs w:val="20"/>
              </w:rPr>
            </w:pPr>
            <w:r>
              <w:rPr>
                <w:color w:val="FF0000"/>
                <w:szCs w:val="20"/>
              </w:rPr>
              <w:t>Bylo dohodnuto:</w:t>
            </w:r>
          </w:p>
          <w:p w14:paraId="14662195" w14:textId="77777777" w:rsidR="00EE3891" w:rsidRDefault="00EE3891" w:rsidP="00EE3891">
            <w:pPr>
              <w:pStyle w:val="Bntext"/>
              <w:rPr>
                <w:color w:val="FF0000"/>
                <w:szCs w:val="20"/>
              </w:rPr>
            </w:pPr>
            <w:r>
              <w:rPr>
                <w:color w:val="FF0000"/>
                <w:szCs w:val="20"/>
              </w:rPr>
              <w:t>_ je akceptována půdorysná úprava opěrné zdi dle návrh PPO</w:t>
            </w:r>
          </w:p>
          <w:p w14:paraId="2D231551" w14:textId="77777777" w:rsidR="00EE3891" w:rsidRDefault="00EE3891" w:rsidP="00EE3891">
            <w:pPr>
              <w:pStyle w:val="Bntext"/>
              <w:rPr>
                <w:color w:val="FF0000"/>
                <w:szCs w:val="20"/>
              </w:rPr>
            </w:pPr>
            <w:r>
              <w:rPr>
                <w:color w:val="FF0000"/>
                <w:szCs w:val="20"/>
              </w:rPr>
              <w:t>_ promenáda bude prodloužena k patě lávky F.03</w:t>
            </w:r>
          </w:p>
          <w:p w14:paraId="0597F887" w14:textId="7B818DC2" w:rsidR="00EE3891" w:rsidRPr="00EE3891" w:rsidRDefault="00EE3891" w:rsidP="00BC25DC">
            <w:pPr>
              <w:pStyle w:val="Bntext"/>
              <w:rPr>
                <w:color w:val="FF0000"/>
                <w:szCs w:val="20"/>
              </w:rPr>
            </w:pPr>
            <w:r>
              <w:rPr>
                <w:color w:val="FF0000"/>
                <w:szCs w:val="20"/>
              </w:rPr>
              <w:t>_ půdorysný průběh opěrné zdi bude plynulý a bude esteticky vycházet ze stávajícího řešení u mostu Svatováclavská – opěrná zeď, zábradlí, mlat, stromořadí</w:t>
            </w:r>
          </w:p>
          <w:p w14:paraId="322607CB" w14:textId="77777777" w:rsidR="00EE3891" w:rsidRPr="00ED5BBD" w:rsidRDefault="00EE3891" w:rsidP="00BC25DC">
            <w:pPr>
              <w:pStyle w:val="Bntext"/>
              <w:rPr>
                <w:rFonts w:cs="Arial"/>
                <w:color w:val="FF0000"/>
                <w:szCs w:val="20"/>
              </w:rPr>
            </w:pPr>
          </w:p>
          <w:p w14:paraId="7805CBC9" w14:textId="77777777" w:rsidR="00EE3891" w:rsidRPr="00ED5BBD" w:rsidRDefault="00EE3891" w:rsidP="00BC25DC">
            <w:pPr>
              <w:rPr>
                <w:rFonts w:cs="Arial"/>
                <w:color w:val="FF0000"/>
                <w:szCs w:val="20"/>
              </w:rPr>
            </w:pPr>
          </w:p>
        </w:tc>
      </w:tr>
      <w:tr w:rsidR="00EE3891" w:rsidRPr="00ED5BBD" w14:paraId="59D3314B" w14:textId="77777777" w:rsidTr="00BC25DC">
        <w:tc>
          <w:tcPr>
            <w:tcW w:w="9062" w:type="dxa"/>
            <w:shd w:val="clear" w:color="auto" w:fill="auto"/>
          </w:tcPr>
          <w:p w14:paraId="59B397CB" w14:textId="77777777" w:rsidR="00EE3891" w:rsidRPr="00ED5BBD" w:rsidRDefault="00EE3891"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10"/>
      <w:bookmarkEnd w:id="11"/>
      <w:bookmarkEnd w:id="12"/>
    </w:tbl>
    <w:p w14:paraId="287B62D9" w14:textId="62D3F52D" w:rsidR="00F319BD" w:rsidRPr="00F319BD" w:rsidRDefault="00F319BD" w:rsidP="00C27D65">
      <w:pPr>
        <w:pStyle w:val="Bntext"/>
        <w:rPr>
          <w:color w:val="FF0000"/>
          <w:szCs w:val="20"/>
        </w:rPr>
      </w:pPr>
    </w:p>
    <w:bookmarkEnd w:id="8"/>
    <w:p w14:paraId="709E137C" w14:textId="77777777" w:rsidR="00DA6A67" w:rsidRDefault="00DA6A67" w:rsidP="00653CC8"/>
    <w:sectPr w:rsidR="00DA6A67">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9D3B8" w14:textId="77777777" w:rsidR="000D0D6A" w:rsidRDefault="000D0D6A">
      <w:r>
        <w:separator/>
      </w:r>
    </w:p>
  </w:endnote>
  <w:endnote w:type="continuationSeparator" w:id="0">
    <w:p w14:paraId="2BC4ACD1" w14:textId="77777777" w:rsidR="000D0D6A" w:rsidRDefault="000D0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1EED7" w14:textId="77777777" w:rsidR="004E1398" w:rsidRDefault="004E13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7C59A3CC" w14:textId="77777777">
      <w:trPr>
        <w:cantSplit/>
      </w:trPr>
      <w:tc>
        <w:tcPr>
          <w:tcW w:w="9210" w:type="dxa"/>
          <w:gridSpan w:val="2"/>
          <w:tcBorders>
            <w:bottom w:val="single" w:sz="4" w:space="0" w:color="auto"/>
          </w:tcBorders>
        </w:tcPr>
        <w:p w14:paraId="75168783"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24C0E4FF" w14:textId="77777777">
      <w:tc>
        <w:tcPr>
          <w:tcW w:w="4605" w:type="dxa"/>
          <w:tcBorders>
            <w:top w:val="single" w:sz="4" w:space="0" w:color="auto"/>
          </w:tcBorders>
        </w:tcPr>
        <w:p w14:paraId="15EDC904" w14:textId="759FD242" w:rsidR="00BE0FEB" w:rsidRDefault="0069315D">
          <w:pPr>
            <w:pStyle w:val="Zpat"/>
          </w:pPr>
          <w:fldSimple w:instr=" FILENAME  \* MERGEFORMAT ">
            <w:r w:rsidR="004E1398">
              <w:rPr>
                <w:noProof/>
              </w:rPr>
              <w:t>F_01+zaver 08-2020.docx</w:t>
            </w:r>
          </w:fldSimple>
        </w:p>
      </w:tc>
      <w:tc>
        <w:tcPr>
          <w:tcW w:w="4605" w:type="dxa"/>
          <w:tcBorders>
            <w:top w:val="single" w:sz="4" w:space="0" w:color="auto"/>
          </w:tcBorders>
          <w:vAlign w:val="bottom"/>
        </w:tcPr>
        <w:p w14:paraId="5E455453"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171DD33F" w14:textId="77777777" w:rsidR="00BE0FEB" w:rsidRDefault="00BE0FE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6B4B" w14:textId="77777777" w:rsidR="004E1398" w:rsidRDefault="004E13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70374" w14:textId="77777777" w:rsidR="000D0D6A" w:rsidRDefault="000D0D6A">
      <w:r>
        <w:separator/>
      </w:r>
    </w:p>
  </w:footnote>
  <w:footnote w:type="continuationSeparator" w:id="0">
    <w:p w14:paraId="48F97814" w14:textId="77777777" w:rsidR="000D0D6A" w:rsidRDefault="000D0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42BCF" w14:textId="77777777" w:rsidR="004E1398" w:rsidRDefault="004E13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74BA96DF" w14:textId="77777777" w:rsidTr="002F650F">
      <w:tc>
        <w:tcPr>
          <w:tcW w:w="4677" w:type="dxa"/>
          <w:tcBorders>
            <w:bottom w:val="single" w:sz="4" w:space="0" w:color="auto"/>
          </w:tcBorders>
        </w:tcPr>
        <w:p w14:paraId="06E3E6C3" w14:textId="77777777" w:rsidR="00BC0753" w:rsidRDefault="00101B48" w:rsidP="00BC0753">
          <w:pPr>
            <w:pStyle w:val="Zhlav"/>
          </w:pPr>
          <w:r>
            <w:t>List opatření</w:t>
          </w:r>
        </w:p>
      </w:tc>
      <w:tc>
        <w:tcPr>
          <w:tcW w:w="4605" w:type="dxa"/>
          <w:tcBorders>
            <w:bottom w:val="single" w:sz="4" w:space="0" w:color="auto"/>
          </w:tcBorders>
          <w:vAlign w:val="bottom"/>
        </w:tcPr>
        <w:p w14:paraId="7018712C"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309BAE85" w14:textId="77777777" w:rsidTr="002F650F">
      <w:trPr>
        <w:cantSplit/>
      </w:trPr>
      <w:tc>
        <w:tcPr>
          <w:tcW w:w="9282" w:type="dxa"/>
          <w:gridSpan w:val="2"/>
          <w:tcBorders>
            <w:top w:val="single" w:sz="4" w:space="0" w:color="auto"/>
            <w:bottom w:val="nil"/>
          </w:tcBorders>
        </w:tcPr>
        <w:p w14:paraId="353AECD0" w14:textId="77777777" w:rsidR="00BE0FEB" w:rsidRDefault="003442DC">
          <w:pPr>
            <w:pStyle w:val="Zhlav"/>
            <w:jc w:val="right"/>
          </w:pPr>
          <w:proofErr w:type="gramStart"/>
          <w:r>
            <w:t>20044A</w:t>
          </w:r>
          <w:proofErr w:type="gramEnd"/>
        </w:p>
      </w:tc>
    </w:tr>
  </w:tbl>
  <w:p w14:paraId="5F82FEAE" w14:textId="77777777" w:rsidR="00BE0FEB" w:rsidRDefault="00BE0F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97CE5" w14:textId="77777777" w:rsidR="004E1398" w:rsidRDefault="004E13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1C37"/>
    <w:rsid w:val="00011A09"/>
    <w:rsid w:val="000449C1"/>
    <w:rsid w:val="00097761"/>
    <w:rsid w:val="000D0D6A"/>
    <w:rsid w:val="00101B48"/>
    <w:rsid w:val="001346F1"/>
    <w:rsid w:val="001834D7"/>
    <w:rsid w:val="001B05AD"/>
    <w:rsid w:val="001D6AFC"/>
    <w:rsid w:val="001E1F3D"/>
    <w:rsid w:val="001E3C32"/>
    <w:rsid w:val="0020200A"/>
    <w:rsid w:val="00235460"/>
    <w:rsid w:val="002F08DA"/>
    <w:rsid w:val="002F0A06"/>
    <w:rsid w:val="002F650F"/>
    <w:rsid w:val="003222D7"/>
    <w:rsid w:val="003442DC"/>
    <w:rsid w:val="00346654"/>
    <w:rsid w:val="0037572C"/>
    <w:rsid w:val="00385ED4"/>
    <w:rsid w:val="003B1ADD"/>
    <w:rsid w:val="003E5B29"/>
    <w:rsid w:val="003F5A51"/>
    <w:rsid w:val="004343B0"/>
    <w:rsid w:val="00493812"/>
    <w:rsid w:val="004955FF"/>
    <w:rsid w:val="004E1398"/>
    <w:rsid w:val="00521E1A"/>
    <w:rsid w:val="00537C5B"/>
    <w:rsid w:val="00542F9C"/>
    <w:rsid w:val="00555473"/>
    <w:rsid w:val="0057158F"/>
    <w:rsid w:val="005A6EE4"/>
    <w:rsid w:val="005B07AF"/>
    <w:rsid w:val="005E182B"/>
    <w:rsid w:val="00653CC8"/>
    <w:rsid w:val="00664E61"/>
    <w:rsid w:val="00690190"/>
    <w:rsid w:val="0069315D"/>
    <w:rsid w:val="00693F6B"/>
    <w:rsid w:val="006D54F3"/>
    <w:rsid w:val="00736578"/>
    <w:rsid w:val="007961D7"/>
    <w:rsid w:val="007A41FB"/>
    <w:rsid w:val="007B6F55"/>
    <w:rsid w:val="007E071E"/>
    <w:rsid w:val="008057F3"/>
    <w:rsid w:val="008609C4"/>
    <w:rsid w:val="00875B7E"/>
    <w:rsid w:val="008A5894"/>
    <w:rsid w:val="008B513C"/>
    <w:rsid w:val="008D66E7"/>
    <w:rsid w:val="008E208F"/>
    <w:rsid w:val="00947DE4"/>
    <w:rsid w:val="00956E40"/>
    <w:rsid w:val="00996DD1"/>
    <w:rsid w:val="009A232C"/>
    <w:rsid w:val="009B4603"/>
    <w:rsid w:val="00A145EA"/>
    <w:rsid w:val="00A43DB9"/>
    <w:rsid w:val="00A52B59"/>
    <w:rsid w:val="00AF19D0"/>
    <w:rsid w:val="00B50DEA"/>
    <w:rsid w:val="00BC0753"/>
    <w:rsid w:val="00BD23D3"/>
    <w:rsid w:val="00BE0FEB"/>
    <w:rsid w:val="00C27D65"/>
    <w:rsid w:val="00C645BB"/>
    <w:rsid w:val="00CD6F29"/>
    <w:rsid w:val="00D12E55"/>
    <w:rsid w:val="00D155A6"/>
    <w:rsid w:val="00D339F0"/>
    <w:rsid w:val="00D94B2B"/>
    <w:rsid w:val="00D96981"/>
    <w:rsid w:val="00DA6A67"/>
    <w:rsid w:val="00DD256E"/>
    <w:rsid w:val="00E25109"/>
    <w:rsid w:val="00E30B40"/>
    <w:rsid w:val="00E41632"/>
    <w:rsid w:val="00E63454"/>
    <w:rsid w:val="00E82ABC"/>
    <w:rsid w:val="00EB6032"/>
    <w:rsid w:val="00ED3333"/>
    <w:rsid w:val="00EE3891"/>
    <w:rsid w:val="00F319BD"/>
    <w:rsid w:val="00F86B43"/>
    <w:rsid w:val="00FB67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A4D4D"/>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653CC8"/>
    <w:rPr>
      <w:rFonts w:ascii="Segoe UI" w:hAnsi="Segoe UI" w:cs="Segoe UI"/>
      <w:sz w:val="18"/>
      <w:szCs w:val="18"/>
    </w:rPr>
  </w:style>
  <w:style w:type="character" w:customStyle="1" w:styleId="TextbublinyChar">
    <w:name w:val="Text bubliny Char"/>
    <w:basedOn w:val="Standardnpsmoodstavce"/>
    <w:link w:val="Textbubliny"/>
    <w:rsid w:val="00653C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908</TotalTime>
  <Pages>2</Pages>
  <Words>438</Words>
  <Characters>2589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dc:creator>
  <cp:lastModifiedBy>. .</cp:lastModifiedBy>
  <cp:revision>25</cp:revision>
  <cp:lastPrinted>1900-12-31T23:00:00Z</cp:lastPrinted>
  <dcterms:created xsi:type="dcterms:W3CDTF">2020-03-09T09:54:00Z</dcterms:created>
  <dcterms:modified xsi:type="dcterms:W3CDTF">2020-08-17T16:08:00Z</dcterms:modified>
</cp:coreProperties>
</file>